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bookmarkStart w:name="Załącznik nr 2 (1)" w:id="1"/>
      <w:bookmarkEnd w:id="1"/>
      <w:r>
        <w:rPr>
          <w:b w:val="0"/>
        </w:rPr>
      </w:r>
      <w:r>
        <w:rPr/>
        <w:t>Załącznik nr 2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8"/>
        <w:rPr>
          <w:b/>
          <w:i w:val="0"/>
          <w:sz w:val="14"/>
        </w:rPr>
      </w:pPr>
      <w:r>
        <w:rPr/>
        <w:pict>
          <v:group style="position:absolute;margin-left:201.347412pt;margin-top:10.82048pt;width:196.8pt;height:19.45pt;mso-position-horizontal-relative:page;mso-position-vertical-relative:paragraph;z-index:-15728128;mso-wrap-distance-left:0;mso-wrap-distance-right:0" coordorigin="4027,216" coordsize="3936,389">
            <v:shape style="position:absolute;left:4026;top:299;width:3936;height:27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026;top:216;width:3936;height:389" type="#_x0000_t202" filled="false" stroked="false">
              <v:textbox inset="0,0,0,0">
                <w:txbxContent>
                  <w:p>
                    <w:pPr>
                      <w:spacing w:before="2"/>
                      <w:ind w:left="-8" w:right="0" w:firstLine="0"/>
                      <w:jc w:val="left"/>
                      <w:rPr>
                        <w:sz w:val="32"/>
                      </w:rPr>
                    </w:pPr>
                    <w:bookmarkStart w:name="Fiszka techniczna wina" w:id="2"/>
                    <w:bookmarkEnd w:id="2"/>
                    <w:r>
                      <w:rPr/>
                    </w:r>
                    <w:r>
                      <w:rPr>
                        <w:color w:val="4F81BC"/>
                        <w:sz w:val="32"/>
                      </w:rPr>
                      <w:t>FISZKA TECHNICZNA WINA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i w:val="0"/>
          <w:sz w:val="8"/>
        </w:rPr>
      </w:pPr>
    </w:p>
    <w:p>
      <w:pPr>
        <w:pStyle w:val="BodyText"/>
        <w:ind w:left="1323"/>
        <w:rPr>
          <w:i w:val="0"/>
          <w:sz w:val="20"/>
        </w:rPr>
      </w:pPr>
      <w:r>
        <w:rPr>
          <w:i w:val="0"/>
          <w:sz w:val="20"/>
        </w:rPr>
        <w:pict>
          <v:group style="width:348.95pt;height:14.7pt;mso-position-horizontal-relative:char;mso-position-vertical-relative:line" coordorigin="0,0" coordsize="6979,294">
            <v:shape style="position:absolute;left:0;top:0;width:6979;height:278" type="#_x0000_t75" stroked="false">
              <v:imagedata r:id="rId6" o:title=""/>
            </v:shape>
            <v:shape style="position:absolute;left:0;top:0;width:6979;height:294" type="#_x0000_t202" filled="false" stroked="false">
              <v:textbox inset="0,0,0,0">
                <w:txbxContent>
                  <w:p>
                    <w:pPr>
                      <w:spacing w:before="4"/>
                      <w:ind w:left="10" w:right="-29" w:firstLine="0"/>
                      <w:jc w:val="left"/>
                      <w:rPr>
                        <w:sz w:val="24"/>
                      </w:rPr>
                    </w:pPr>
                    <w:bookmarkStart w:name="XVI KONWENT POLSKICH WINIARZY - POZNAŃ 2" w:id="3"/>
                    <w:bookmarkEnd w:id="3"/>
                    <w:r>
                      <w:rPr/>
                    </w:r>
                    <w:r>
                      <w:rPr>
                        <w:color w:val="4F81BC"/>
                        <w:sz w:val="24"/>
                      </w:rPr>
                      <w:t>XVI KONWENT POLSKICH WINIARZY - POZNAŃ 24-26.11.2023</w:t>
                    </w:r>
                    <w:r>
                      <w:rPr>
                        <w:color w:val="4F81BC"/>
                        <w:spacing w:val="-19"/>
                        <w:sz w:val="24"/>
                      </w:rPr>
                      <w:t> </w:t>
                    </w:r>
                    <w:r>
                      <w:rPr>
                        <w:color w:val="4F81BC"/>
                        <w:sz w:val="24"/>
                      </w:rPr>
                      <w:t>R.</w:t>
                    </w:r>
                  </w:p>
                </w:txbxContent>
              </v:textbox>
              <w10:wrap type="none"/>
            </v:shape>
          </v:group>
        </w:pict>
      </w:r>
      <w:r>
        <w:rPr>
          <w:i w:val="0"/>
          <w:sz w:val="20"/>
        </w:rPr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10"/>
        <w:rPr>
          <w:b/>
          <w:i w:val="0"/>
          <w:sz w:val="10"/>
        </w:rPr>
      </w:pPr>
    </w:p>
    <w:tbl>
      <w:tblPr>
        <w:tblW w:w="0" w:type="auto"/>
        <w:jc w:val="left"/>
        <w:tblInd w:w="115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8"/>
        <w:gridCol w:w="5450"/>
      </w:tblGrid>
      <w:tr>
        <w:trPr>
          <w:trHeight w:val="633" w:hRule="atLeast"/>
        </w:trPr>
        <w:tc>
          <w:tcPr>
            <w:tcW w:w="3798" w:type="dxa"/>
          </w:tcPr>
          <w:p>
            <w:pPr>
              <w:pStyle w:val="TableParagraph"/>
              <w:spacing w:before="17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Nazwa winnicy</w:t>
            </w:r>
          </w:p>
        </w:tc>
        <w:tc>
          <w:tcPr>
            <w:tcW w:w="5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3" w:hRule="atLeast"/>
        </w:trPr>
        <w:tc>
          <w:tcPr>
            <w:tcW w:w="3798" w:type="dxa"/>
          </w:tcPr>
          <w:p>
            <w:pPr>
              <w:pStyle w:val="TableParagraph"/>
              <w:spacing w:before="17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Nazwa wina</w:t>
            </w:r>
          </w:p>
        </w:tc>
        <w:tc>
          <w:tcPr>
            <w:tcW w:w="5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3" w:hRule="atLeast"/>
        </w:trPr>
        <w:tc>
          <w:tcPr>
            <w:tcW w:w="3798" w:type="dxa"/>
          </w:tcPr>
          <w:p>
            <w:pPr>
              <w:pStyle w:val="TableParagraph"/>
              <w:spacing w:before="17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Rocznik</w:t>
            </w:r>
          </w:p>
        </w:tc>
        <w:tc>
          <w:tcPr>
            <w:tcW w:w="5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8" w:hRule="atLeast"/>
        </w:trPr>
        <w:tc>
          <w:tcPr>
            <w:tcW w:w="3798" w:type="dxa"/>
          </w:tcPr>
          <w:p>
            <w:pPr>
              <w:pStyle w:val="TableParagraph"/>
              <w:spacing w:before="16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Kategoria wina *</w:t>
            </w:r>
          </w:p>
        </w:tc>
        <w:tc>
          <w:tcPr>
            <w:tcW w:w="5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3" w:hRule="atLeast"/>
        </w:trPr>
        <w:tc>
          <w:tcPr>
            <w:tcW w:w="3798" w:type="dxa"/>
          </w:tcPr>
          <w:p>
            <w:pPr>
              <w:pStyle w:val="TableParagraph"/>
              <w:spacing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Odmiana lub odmiany winorośli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(według udziału procentowego)</w:t>
            </w:r>
          </w:p>
        </w:tc>
        <w:tc>
          <w:tcPr>
            <w:tcW w:w="5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8" w:hRule="atLeast"/>
        </w:trPr>
        <w:tc>
          <w:tcPr>
            <w:tcW w:w="3798" w:type="dxa"/>
          </w:tcPr>
          <w:p>
            <w:pPr>
              <w:pStyle w:val="TableParagraph"/>
              <w:spacing w:line="290" w:lineRule="atLeast" w:before="23"/>
              <w:ind w:left="110" w:right="838"/>
              <w:rPr>
                <w:sz w:val="24"/>
              </w:rPr>
            </w:pPr>
            <w:r>
              <w:rPr>
                <w:b/>
                <w:sz w:val="24"/>
              </w:rPr>
              <w:t>Zawartość alkoholu w gotowym winie </w:t>
            </w:r>
            <w:r>
              <w:rPr>
                <w:sz w:val="24"/>
              </w:rPr>
              <w:t>(% obj.)</w:t>
            </w:r>
          </w:p>
        </w:tc>
        <w:tc>
          <w:tcPr>
            <w:tcW w:w="5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3" w:hRule="atLeast"/>
        </w:trPr>
        <w:tc>
          <w:tcPr>
            <w:tcW w:w="3798" w:type="dxa"/>
          </w:tcPr>
          <w:p>
            <w:pPr>
              <w:pStyle w:val="TableParagraph"/>
              <w:spacing w:before="173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Kwasowość ogólna </w:t>
            </w:r>
            <w:r>
              <w:rPr>
                <w:sz w:val="24"/>
              </w:rPr>
              <w:t>(g/l)</w:t>
            </w:r>
          </w:p>
        </w:tc>
        <w:tc>
          <w:tcPr>
            <w:tcW w:w="5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3" w:hRule="atLeast"/>
        </w:trPr>
        <w:tc>
          <w:tcPr>
            <w:tcW w:w="3798" w:type="dxa"/>
          </w:tcPr>
          <w:p>
            <w:pPr>
              <w:pStyle w:val="TableParagraph"/>
              <w:spacing w:before="28"/>
              <w:ind w:left="110" w:right="1586"/>
              <w:rPr>
                <w:sz w:val="24"/>
              </w:rPr>
            </w:pPr>
            <w:r>
              <w:rPr>
                <w:b/>
                <w:sz w:val="24"/>
              </w:rPr>
              <w:t>Zawartość cukru resztkowego </w:t>
            </w:r>
            <w:r>
              <w:rPr>
                <w:sz w:val="24"/>
              </w:rPr>
              <w:t>(g/l)</w:t>
            </w:r>
          </w:p>
        </w:tc>
        <w:tc>
          <w:tcPr>
            <w:tcW w:w="5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3" w:hRule="atLeast"/>
        </w:trPr>
        <w:tc>
          <w:tcPr>
            <w:tcW w:w="3798" w:type="dxa"/>
          </w:tcPr>
          <w:p>
            <w:pPr>
              <w:pStyle w:val="TableParagraph"/>
              <w:spacing w:before="172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Inne informacje **</w:t>
            </w:r>
          </w:p>
        </w:tc>
        <w:tc>
          <w:tcPr>
            <w:tcW w:w="5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b/>
          <w:i w:val="0"/>
          <w:sz w:val="13"/>
        </w:rPr>
      </w:pPr>
    </w:p>
    <w:p>
      <w:pPr>
        <w:pStyle w:val="BodyText"/>
        <w:spacing w:line="225" w:lineRule="auto" w:before="114"/>
        <w:ind w:left="503" w:hanging="284"/>
      </w:pPr>
      <w:r>
        <w:rPr>
          <w:b/>
        </w:rPr>
        <w:t>* </w:t>
      </w:r>
      <w:r>
        <w:rPr>
          <w:spacing w:val="-6"/>
        </w:rPr>
        <w:t>Białe, różowe, </w:t>
      </w:r>
      <w:r>
        <w:rPr>
          <w:spacing w:val="-7"/>
        </w:rPr>
        <w:t>czerwone, </w:t>
      </w:r>
      <w:r>
        <w:rPr>
          <w:spacing w:val="-6"/>
        </w:rPr>
        <w:t>musujące, </w:t>
      </w:r>
      <w:r>
        <w:rPr>
          <w:spacing w:val="-7"/>
        </w:rPr>
        <w:t>półmusujące, </w:t>
      </w:r>
      <w:r>
        <w:rPr>
          <w:spacing w:val="-6"/>
        </w:rPr>
        <w:t>likierowe </w:t>
      </w:r>
      <w:r>
        <w:rPr>
          <w:spacing w:val="-7"/>
        </w:rPr>
        <w:t>(wzmacniane), wyrabiane </w:t>
      </w:r>
      <w:r>
        <w:rPr>
          <w:spacing w:val="-5"/>
        </w:rPr>
        <w:t>przy </w:t>
      </w:r>
      <w:r>
        <w:rPr>
          <w:spacing w:val="-6"/>
        </w:rPr>
        <w:t>pomocy nietypowych technologii </w:t>
      </w:r>
      <w:r>
        <w:rPr>
          <w:spacing w:val="-7"/>
        </w:rPr>
        <w:t>winiarskich, </w:t>
      </w:r>
      <w:r>
        <w:rPr>
          <w:spacing w:val="-6"/>
        </w:rPr>
        <w:t>etc.</w:t>
      </w:r>
    </w:p>
    <w:p>
      <w:pPr>
        <w:pStyle w:val="BodyText"/>
        <w:spacing w:before="2"/>
      </w:pPr>
    </w:p>
    <w:p>
      <w:pPr>
        <w:pStyle w:val="BodyText"/>
        <w:spacing w:line="225" w:lineRule="auto"/>
        <w:ind w:left="503" w:right="247" w:hanging="284"/>
        <w:jc w:val="both"/>
      </w:pPr>
      <w:r>
        <w:rPr>
          <w:b/>
          <w:spacing w:val="-3"/>
        </w:rPr>
        <w:t>** </w:t>
      </w:r>
      <w:r>
        <w:rPr>
          <w:spacing w:val="-5"/>
        </w:rPr>
        <w:t>Metody </w:t>
      </w:r>
      <w:r>
        <w:rPr>
          <w:spacing w:val="-7"/>
        </w:rPr>
        <w:t>wytwarzania </w:t>
      </w:r>
      <w:r>
        <w:rPr>
          <w:spacing w:val="-3"/>
        </w:rPr>
        <w:t>wina, </w:t>
      </w:r>
      <w:r>
        <w:rPr/>
        <w:t>sposób uzyskania np. w wyniku długiej maceracji jasnych winogron (orange), dojrzewające</w:t>
      </w:r>
      <w:r>
        <w:rPr>
          <w:spacing w:val="-32"/>
        </w:rPr>
        <w:t> </w:t>
      </w:r>
      <w:r>
        <w:rPr/>
        <w:t>pod</w:t>
      </w:r>
      <w:r>
        <w:rPr>
          <w:spacing w:val="-34"/>
        </w:rPr>
        <w:t> </w:t>
      </w:r>
      <w:r>
        <w:rPr/>
        <w:t>warstwą</w:t>
      </w:r>
      <w:r>
        <w:rPr>
          <w:spacing w:val="-33"/>
        </w:rPr>
        <w:t> </w:t>
      </w:r>
      <w:r>
        <w:rPr/>
        <w:t>drożdży</w:t>
      </w:r>
      <w:r>
        <w:rPr>
          <w:spacing w:val="-33"/>
        </w:rPr>
        <w:t> </w:t>
      </w:r>
      <w:r>
        <w:rPr/>
        <w:t>kożuchujących,</w:t>
      </w:r>
      <w:r>
        <w:rPr>
          <w:spacing w:val="-35"/>
        </w:rPr>
        <w:t> </w:t>
      </w:r>
      <w:r>
        <w:rPr/>
        <w:t>uzyskane</w:t>
      </w:r>
      <w:r>
        <w:rPr>
          <w:spacing w:val="-34"/>
        </w:rPr>
        <w:t> </w:t>
      </w:r>
      <w:r>
        <w:rPr/>
        <w:t>z</w:t>
      </w:r>
      <w:r>
        <w:rPr>
          <w:spacing w:val="-35"/>
        </w:rPr>
        <w:t> </w:t>
      </w:r>
      <w:r>
        <w:rPr/>
        <w:t>przejrzałych,</w:t>
      </w:r>
      <w:r>
        <w:rPr>
          <w:spacing w:val="-34"/>
        </w:rPr>
        <w:t> </w:t>
      </w:r>
      <w:r>
        <w:rPr/>
        <w:t>zbotrytyzowanych</w:t>
      </w:r>
      <w:r>
        <w:rPr>
          <w:spacing w:val="-35"/>
        </w:rPr>
        <w:t> </w:t>
      </w:r>
      <w:r>
        <w:rPr/>
        <w:t>lub</w:t>
      </w:r>
      <w:r>
        <w:rPr>
          <w:spacing w:val="-37"/>
        </w:rPr>
        <w:t> </w:t>
      </w:r>
      <w:r>
        <w:rPr/>
        <w:t>częściowo </w:t>
      </w:r>
      <w:r>
        <w:rPr>
          <w:position w:val="2"/>
        </w:rPr>
        <w:t>podsuszonych</w:t>
      </w:r>
      <w:r>
        <w:rPr>
          <w:spacing w:val="-8"/>
          <w:position w:val="2"/>
        </w:rPr>
        <w:t> </w:t>
      </w:r>
      <w:r>
        <w:rPr>
          <w:spacing w:val="-3"/>
          <w:position w:val="2"/>
        </w:rPr>
        <w:t>winogron,</w:t>
      </w:r>
      <w:r>
        <w:rPr>
          <w:spacing w:val="-6"/>
          <w:position w:val="2"/>
        </w:rPr>
        <w:t> </w:t>
      </w:r>
      <w:r>
        <w:rPr>
          <w:position w:val="2"/>
        </w:rPr>
        <w:t>uzyskane</w:t>
      </w:r>
      <w:r>
        <w:rPr>
          <w:spacing w:val="-10"/>
          <w:position w:val="2"/>
        </w:rPr>
        <w:t> </w:t>
      </w:r>
      <w:r>
        <w:rPr>
          <w:position w:val="2"/>
        </w:rPr>
        <w:t>bez</w:t>
      </w:r>
      <w:r>
        <w:rPr>
          <w:spacing w:val="-10"/>
          <w:position w:val="2"/>
        </w:rPr>
        <w:t> </w:t>
      </w:r>
      <w:r>
        <w:rPr>
          <w:position w:val="2"/>
        </w:rPr>
        <w:t>dodatku</w:t>
      </w:r>
      <w:r>
        <w:rPr>
          <w:spacing w:val="-8"/>
          <w:position w:val="2"/>
        </w:rPr>
        <w:t> </w:t>
      </w:r>
      <w:r>
        <w:rPr>
          <w:position w:val="2"/>
        </w:rPr>
        <w:t>SO</w:t>
      </w:r>
      <w:r>
        <w:rPr>
          <w:sz w:val="12"/>
        </w:rPr>
        <w:t>2</w:t>
      </w:r>
      <w:r>
        <w:rPr>
          <w:position w:val="2"/>
        </w:rPr>
        <w:t>,</w:t>
      </w:r>
      <w:r>
        <w:rPr>
          <w:spacing w:val="-9"/>
          <w:position w:val="2"/>
        </w:rPr>
        <w:t> </w:t>
      </w:r>
      <w:r>
        <w:rPr>
          <w:position w:val="2"/>
        </w:rPr>
        <w:t>czy</w:t>
      </w:r>
      <w:r>
        <w:rPr>
          <w:spacing w:val="-10"/>
          <w:position w:val="2"/>
        </w:rPr>
        <w:t> </w:t>
      </w:r>
      <w:r>
        <w:rPr>
          <w:position w:val="2"/>
        </w:rPr>
        <w:t>użyto</w:t>
      </w:r>
      <w:r>
        <w:rPr>
          <w:spacing w:val="-7"/>
          <w:position w:val="2"/>
        </w:rPr>
        <w:t> </w:t>
      </w:r>
      <w:r>
        <w:rPr>
          <w:position w:val="2"/>
        </w:rPr>
        <w:t>drożdży</w:t>
      </w:r>
      <w:r>
        <w:rPr>
          <w:spacing w:val="-7"/>
          <w:position w:val="2"/>
        </w:rPr>
        <w:t> </w:t>
      </w:r>
      <w:r>
        <w:rPr>
          <w:position w:val="2"/>
        </w:rPr>
        <w:t>naturalnych</w:t>
      </w:r>
      <w:r>
        <w:rPr>
          <w:spacing w:val="-11"/>
          <w:position w:val="2"/>
        </w:rPr>
        <w:t> </w:t>
      </w:r>
      <w:r>
        <w:rPr>
          <w:position w:val="2"/>
        </w:rPr>
        <w:t>czy</w:t>
      </w:r>
      <w:r>
        <w:rPr>
          <w:spacing w:val="-10"/>
          <w:position w:val="2"/>
        </w:rPr>
        <w:t> </w:t>
      </w:r>
      <w:r>
        <w:rPr>
          <w:position w:val="2"/>
        </w:rPr>
        <w:t>szlachetnych,</w:t>
      </w:r>
      <w:r>
        <w:rPr>
          <w:spacing w:val="-6"/>
          <w:position w:val="2"/>
        </w:rPr>
        <w:t> </w:t>
      </w:r>
      <w:r>
        <w:rPr>
          <w:position w:val="2"/>
        </w:rPr>
        <w:t>czas </w:t>
      </w:r>
      <w:r>
        <w:rPr/>
        <w:t>dojrzewania w beczce, rodzaj beczki,</w:t>
      </w:r>
      <w:r>
        <w:rPr>
          <w:spacing w:val="-22"/>
        </w:rPr>
        <w:t> </w:t>
      </w:r>
      <w:r>
        <w:rPr/>
        <w:t>etc.</w:t>
      </w:r>
    </w:p>
    <w:sectPr>
      <w:type w:val="continuous"/>
      <w:pgSz w:w="11910" w:h="16840"/>
      <w:pgMar w:top="1220" w:bottom="280" w:left="11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i/>
      <w:sz w:val="19"/>
      <w:szCs w:val="19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right="105"/>
      <w:jc w:val="right"/>
    </w:pPr>
    <w:rPr>
      <w:rFonts w:ascii="Tahoma" w:hAnsi="Tahoma" w:eastAsia="Tahoma" w:cs="Tahoma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2023-09-30T20:58:54Z</dcterms:created>
  <dcterms:modified xsi:type="dcterms:W3CDTF">2023-09-30T20:58:54Z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